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DC" w:rsidRPr="005149DC" w:rsidRDefault="005149DC" w:rsidP="00514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49DC">
        <w:rPr>
          <w:rFonts w:ascii="Times New Roman" w:hAnsi="Times New Roman" w:cs="Times New Roman"/>
          <w:b/>
          <w:sz w:val="28"/>
          <w:szCs w:val="28"/>
        </w:rPr>
        <w:t>Степень износа основных фондов</w:t>
      </w:r>
    </w:p>
    <w:p w:rsidR="005149DC" w:rsidRPr="005149DC" w:rsidRDefault="005149DC" w:rsidP="005149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DC">
        <w:rPr>
          <w:rFonts w:ascii="Times New Roman" w:hAnsi="Times New Roman" w:cs="Times New Roman"/>
          <w:b/>
          <w:sz w:val="28"/>
          <w:szCs w:val="28"/>
        </w:rPr>
        <w:t>Степень износа основных фондов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149DC">
        <w:rPr>
          <w:rFonts w:ascii="Times New Roman" w:hAnsi="Times New Roman" w:cs="Times New Roman"/>
          <w:sz w:val="28"/>
          <w:szCs w:val="28"/>
        </w:rPr>
        <w:t xml:space="preserve"> отношение накопленного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149DC">
        <w:rPr>
          <w:rFonts w:ascii="Times New Roman" w:hAnsi="Times New Roman" w:cs="Times New Roman"/>
          <w:sz w:val="28"/>
          <w:szCs w:val="28"/>
        </w:rPr>
        <w:t>к определенной дате износа имеющихся основных фондов (разницы их полной учетной и остаточной балансовой стоимости) к полной учетной стоимости этих основных фондов на ту же дату, в процентах. Расчетный показатель, используемый для характеристики состояния основных фондов.</w:t>
      </w:r>
    </w:p>
    <w:p w:rsidR="005149DC" w:rsidRPr="005149DC" w:rsidRDefault="005149DC" w:rsidP="005149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49DC" w:rsidRPr="005149DC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DC"/>
    <w:rsid w:val="0011176B"/>
    <w:rsid w:val="005149DC"/>
    <w:rsid w:val="00ED08D3"/>
    <w:rsid w:val="00F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p07_ArishevaIV</cp:lastModifiedBy>
  <cp:revision>2</cp:revision>
  <dcterms:created xsi:type="dcterms:W3CDTF">2023-08-15T11:07:00Z</dcterms:created>
  <dcterms:modified xsi:type="dcterms:W3CDTF">2023-08-15T11:07:00Z</dcterms:modified>
</cp:coreProperties>
</file>